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A36F6" w14:textId="16BACC9D" w:rsidR="004C2D12" w:rsidRPr="004C2D12" w:rsidRDefault="0078598F" w:rsidP="004C2D12">
      <w:pPr>
        <w:ind w:left="1800" w:hanging="1800"/>
        <w:rPr>
          <w:rFonts w:cs="Arial"/>
          <w:b/>
          <w:sz w:val="24"/>
          <w:lang w:val="en-GB"/>
        </w:rPr>
      </w:pPr>
      <w:r>
        <w:rPr>
          <w:rFonts w:cs="Arial"/>
          <w:b/>
          <w:sz w:val="24"/>
          <w:lang w:val="en-GB"/>
        </w:rPr>
        <w:t>3GPP TSG-RAN Meeting #86</w:t>
      </w:r>
      <w:r w:rsidR="004C2D12" w:rsidRPr="004C2D12">
        <w:rPr>
          <w:rFonts w:cs="Arial"/>
          <w:b/>
          <w:sz w:val="24"/>
          <w:lang w:val="en-GB"/>
        </w:rPr>
        <w:tab/>
      </w:r>
      <w:r w:rsidR="004C2D12" w:rsidRPr="004C2D12">
        <w:rPr>
          <w:rFonts w:cs="Arial"/>
          <w:b/>
          <w:sz w:val="24"/>
          <w:lang w:val="en-GB"/>
        </w:rPr>
        <w:tab/>
      </w:r>
      <w:r w:rsidR="004C2D12" w:rsidRPr="004C2D12">
        <w:rPr>
          <w:rFonts w:cs="Arial"/>
          <w:b/>
          <w:sz w:val="24"/>
          <w:lang w:val="en-GB"/>
        </w:rPr>
        <w:tab/>
      </w:r>
      <w:r w:rsidR="004C2D12" w:rsidRPr="004C2D12">
        <w:rPr>
          <w:rFonts w:cs="Arial"/>
          <w:b/>
          <w:sz w:val="24"/>
          <w:lang w:val="en-GB"/>
        </w:rPr>
        <w:tab/>
      </w:r>
      <w:r w:rsidR="004C2D12" w:rsidRPr="004C2D12">
        <w:rPr>
          <w:rFonts w:cs="Arial"/>
          <w:b/>
          <w:sz w:val="24"/>
          <w:lang w:val="en-GB"/>
        </w:rPr>
        <w:tab/>
      </w:r>
      <w:r w:rsidR="004C2D12" w:rsidRPr="004C2D12">
        <w:rPr>
          <w:rFonts w:cs="Arial"/>
          <w:b/>
          <w:sz w:val="24"/>
          <w:lang w:val="en-GB"/>
        </w:rPr>
        <w:tab/>
      </w:r>
      <w:r w:rsidR="004C2D12" w:rsidRPr="004C2D12">
        <w:rPr>
          <w:rFonts w:cs="Arial"/>
          <w:b/>
          <w:sz w:val="24"/>
          <w:lang w:val="en-GB"/>
        </w:rPr>
        <w:tab/>
      </w:r>
      <w:r w:rsidR="004C2D12" w:rsidRPr="004C2D12">
        <w:rPr>
          <w:rFonts w:cs="Arial"/>
          <w:b/>
          <w:sz w:val="24"/>
          <w:lang w:val="en-GB"/>
        </w:rPr>
        <w:tab/>
      </w:r>
      <w:r w:rsidR="00502B05">
        <w:rPr>
          <w:rFonts w:cs="Arial"/>
          <w:b/>
          <w:sz w:val="24"/>
          <w:lang w:val="en-GB"/>
        </w:rPr>
        <w:tab/>
      </w:r>
      <w:r w:rsidR="004C2D12" w:rsidRPr="004C2D12">
        <w:rPr>
          <w:rFonts w:cs="Arial"/>
          <w:b/>
          <w:sz w:val="24"/>
          <w:lang w:val="en-GB"/>
        </w:rPr>
        <w:t>RP-</w:t>
      </w:r>
      <w:r w:rsidR="00DC00B6" w:rsidRPr="00DC00B6">
        <w:rPr>
          <w:rFonts w:cs="Arial"/>
          <w:b/>
          <w:sz w:val="24"/>
          <w:lang w:val="en-GB"/>
        </w:rPr>
        <w:t>193085</w:t>
      </w:r>
      <w:bookmarkStart w:id="0" w:name="_GoBack"/>
      <w:bookmarkEnd w:id="0"/>
    </w:p>
    <w:p w14:paraId="5E8096FB" w14:textId="77777777" w:rsidR="0078598F" w:rsidRDefault="0078598F" w:rsidP="004C2D12">
      <w:pPr>
        <w:ind w:left="1800" w:hanging="1800"/>
        <w:rPr>
          <w:rFonts w:cs="Arial"/>
          <w:b/>
          <w:sz w:val="24"/>
          <w:lang w:val="en-GB"/>
        </w:rPr>
      </w:pPr>
      <w:r w:rsidRPr="0078598F">
        <w:rPr>
          <w:rFonts w:cs="Arial"/>
          <w:b/>
          <w:sz w:val="24"/>
          <w:lang w:val="en-GB"/>
        </w:rPr>
        <w:t>Sitges, Spain 9-12 December 2019</w:t>
      </w:r>
    </w:p>
    <w:p w14:paraId="084D3B80" w14:textId="77777777" w:rsidR="0078598F" w:rsidRDefault="0078598F" w:rsidP="004C2D12">
      <w:pPr>
        <w:ind w:left="1800" w:hanging="1800"/>
        <w:rPr>
          <w:rFonts w:cs="Arial"/>
          <w:b/>
          <w:sz w:val="24"/>
          <w:lang w:val="en-GB"/>
        </w:rPr>
      </w:pPr>
    </w:p>
    <w:p w14:paraId="27CC8F42" w14:textId="062D0609" w:rsidR="0060603E" w:rsidRPr="00212204" w:rsidRDefault="0060603E" w:rsidP="004C2D12">
      <w:pPr>
        <w:ind w:left="1800" w:hanging="1800"/>
        <w:rPr>
          <w:b/>
          <w:sz w:val="24"/>
          <w:szCs w:val="24"/>
        </w:rPr>
      </w:pPr>
      <w:r w:rsidRPr="00212204">
        <w:rPr>
          <w:b/>
          <w:sz w:val="24"/>
          <w:szCs w:val="24"/>
        </w:rPr>
        <w:t>Agenda Item:</w:t>
      </w:r>
      <w:r w:rsidRPr="00212204">
        <w:rPr>
          <w:sz w:val="24"/>
          <w:szCs w:val="24"/>
        </w:rPr>
        <w:tab/>
      </w:r>
      <w:bookmarkStart w:id="1" w:name="Source"/>
      <w:bookmarkEnd w:id="1"/>
      <w:r w:rsidR="0078598F">
        <w:rPr>
          <w:b/>
          <w:sz w:val="24"/>
          <w:szCs w:val="24"/>
        </w:rPr>
        <w:t>9.1.0</w:t>
      </w:r>
    </w:p>
    <w:p w14:paraId="6DA092FE" w14:textId="58A7E7A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 xml:space="preserve">Charter </w:t>
      </w:r>
      <w:r w:rsidR="009F5E27">
        <w:rPr>
          <w:b/>
          <w:sz w:val="24"/>
          <w:szCs w:val="24"/>
        </w:rPr>
        <w:t>Communications, Comcast, CableLabs</w:t>
      </w:r>
      <w:r w:rsidR="00235E6F">
        <w:rPr>
          <w:b/>
          <w:sz w:val="24"/>
          <w:szCs w:val="24"/>
        </w:rPr>
        <w:t>, BlackB</w:t>
      </w:r>
      <w:r w:rsidR="00994B97">
        <w:rPr>
          <w:b/>
          <w:sz w:val="24"/>
          <w:szCs w:val="24"/>
        </w:rPr>
        <w:t>erry, HPE</w:t>
      </w:r>
    </w:p>
    <w:p w14:paraId="44340712" w14:textId="784516F0"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78598F">
        <w:rPr>
          <w:b/>
          <w:sz w:val="24"/>
          <w:szCs w:val="24"/>
        </w:rPr>
        <w:t>Views on unlicensed spectrum aspects in Rel-17</w:t>
      </w:r>
    </w:p>
    <w:p w14:paraId="1B000D7D" w14:textId="59A32668"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4C2D12">
        <w:rPr>
          <w:b/>
          <w:sz w:val="24"/>
          <w:szCs w:val="24"/>
        </w:rPr>
        <w:t>Discussion</w:t>
      </w:r>
    </w:p>
    <w:p w14:paraId="6C1246FB" w14:textId="77777777" w:rsidR="00A64CF7" w:rsidRPr="00A11840" w:rsidRDefault="00A64CF7" w:rsidP="00424124">
      <w:pPr>
        <w:pStyle w:val="NoSpacing"/>
        <w:jc w:val="left"/>
        <w:rPr>
          <w:sz w:val="16"/>
          <w:szCs w:val="16"/>
        </w:rPr>
      </w:pPr>
    </w:p>
    <w:p w14:paraId="1B9FB6E1" w14:textId="6895045B" w:rsidR="00875C32" w:rsidRDefault="000D7279" w:rsidP="00875C32">
      <w:pPr>
        <w:pStyle w:val="Heading1"/>
      </w:pPr>
      <w:r>
        <w:t>Unlicensed Spectrum Aspects</w:t>
      </w:r>
    </w:p>
    <w:p w14:paraId="0306376B" w14:textId="173FF4C9" w:rsidR="00E26CE2" w:rsidRDefault="00570376" w:rsidP="00570376">
      <w:pPr>
        <w:pStyle w:val="maintext"/>
        <w:ind w:firstLineChars="0" w:firstLine="0"/>
        <w:rPr>
          <w:rFonts w:ascii="Calibri" w:hAnsi="Calibri"/>
        </w:rPr>
      </w:pPr>
      <w:r>
        <w:rPr>
          <w:rFonts w:ascii="Calibri" w:hAnsi="Calibri"/>
        </w:rPr>
        <w:t xml:space="preserve">Following the </w:t>
      </w:r>
      <w:r w:rsidR="000D7279">
        <w:rPr>
          <w:rFonts w:ascii="Calibri" w:hAnsi="Calibri"/>
        </w:rPr>
        <w:t>Rel-16</w:t>
      </w:r>
      <w:r w:rsidR="00CE01CF">
        <w:rPr>
          <w:rFonts w:ascii="Calibri" w:hAnsi="Calibri"/>
        </w:rPr>
        <w:t xml:space="preserve"> s</w:t>
      </w:r>
      <w:r w:rsidR="0047618F">
        <w:rPr>
          <w:rFonts w:ascii="Calibri" w:hAnsi="Calibri"/>
        </w:rPr>
        <w:t xml:space="preserve">tudy item </w:t>
      </w:r>
      <w:r w:rsidR="00B359FB">
        <w:rPr>
          <w:rFonts w:ascii="Calibri" w:hAnsi="Calibri"/>
        </w:rPr>
        <w:t>on the feasibility</w:t>
      </w:r>
      <w:r w:rsidR="00C2432D">
        <w:rPr>
          <w:rFonts w:ascii="Calibri" w:hAnsi="Calibri"/>
        </w:rPr>
        <w:t xml:space="preserve"> of using NR in unlicensed </w:t>
      </w:r>
      <w:r w:rsidR="00DD587F">
        <w:rPr>
          <w:rFonts w:ascii="Calibri" w:hAnsi="Calibri"/>
        </w:rPr>
        <w:t xml:space="preserve">(NR-U) </w:t>
      </w:r>
      <w:r w:rsidR="00C2432D">
        <w:rPr>
          <w:rFonts w:ascii="Calibri" w:hAnsi="Calibri"/>
        </w:rPr>
        <w:t>spectrum</w:t>
      </w:r>
      <w:r w:rsidR="00DD587F">
        <w:rPr>
          <w:rFonts w:ascii="Calibri" w:hAnsi="Calibri"/>
        </w:rPr>
        <w:t xml:space="preserve"> </w:t>
      </w:r>
      <w:r w:rsidR="00DD587F">
        <w:rPr>
          <w:rFonts w:ascii="Calibri" w:hAnsi="Calibri"/>
        </w:rPr>
        <w:fldChar w:fldCharType="begin"/>
      </w:r>
      <w:r w:rsidR="00DD587F">
        <w:rPr>
          <w:rFonts w:ascii="Calibri" w:hAnsi="Calibri"/>
        </w:rPr>
        <w:instrText xml:space="preserve"> REF _Ref25758622 \r \h </w:instrText>
      </w:r>
      <w:r w:rsidR="00DD587F">
        <w:rPr>
          <w:rFonts w:ascii="Calibri" w:hAnsi="Calibri"/>
        </w:rPr>
      </w:r>
      <w:r w:rsidR="00DD587F">
        <w:rPr>
          <w:rFonts w:ascii="Calibri" w:hAnsi="Calibri"/>
        </w:rPr>
        <w:fldChar w:fldCharType="separate"/>
      </w:r>
      <w:r w:rsidR="00DD587F">
        <w:rPr>
          <w:rFonts w:ascii="Calibri" w:hAnsi="Calibri"/>
        </w:rPr>
        <w:t>[1]</w:t>
      </w:r>
      <w:r w:rsidR="00DD587F">
        <w:rPr>
          <w:rFonts w:ascii="Calibri" w:hAnsi="Calibri"/>
        </w:rPr>
        <w:fldChar w:fldCharType="end"/>
      </w:r>
      <w:r w:rsidR="00CE01CF">
        <w:rPr>
          <w:rFonts w:ascii="Calibri" w:hAnsi="Calibri"/>
        </w:rPr>
        <w:t xml:space="preserve">, the </w:t>
      </w:r>
      <w:r w:rsidR="000D7279">
        <w:rPr>
          <w:rFonts w:ascii="Calibri" w:hAnsi="Calibri"/>
        </w:rPr>
        <w:t xml:space="preserve">Rel-16 </w:t>
      </w:r>
      <w:r w:rsidR="00CE01CF">
        <w:rPr>
          <w:rFonts w:ascii="Calibri" w:hAnsi="Calibri"/>
        </w:rPr>
        <w:t>NR-U</w:t>
      </w:r>
      <w:r>
        <w:rPr>
          <w:rFonts w:ascii="Calibri" w:hAnsi="Calibri"/>
        </w:rPr>
        <w:t>nlicensed</w:t>
      </w:r>
      <w:r w:rsidR="00CE01CF">
        <w:rPr>
          <w:rFonts w:ascii="Calibri" w:hAnsi="Calibri"/>
        </w:rPr>
        <w:t xml:space="preserve"> WI</w:t>
      </w:r>
      <w:r w:rsidR="0058113E">
        <w:rPr>
          <w:rFonts w:ascii="Calibri" w:hAnsi="Calibri"/>
        </w:rPr>
        <w:t xml:space="preserve"> </w:t>
      </w:r>
      <w:r w:rsidR="00472020">
        <w:rPr>
          <w:rFonts w:ascii="Calibri" w:hAnsi="Calibri"/>
        </w:rPr>
        <w:fldChar w:fldCharType="begin"/>
      </w:r>
      <w:r w:rsidR="00472020">
        <w:rPr>
          <w:rFonts w:ascii="Calibri" w:hAnsi="Calibri"/>
        </w:rPr>
        <w:instrText xml:space="preserve"> REF _Ref25757011 \r \h </w:instrText>
      </w:r>
      <w:r w:rsidR="00472020">
        <w:rPr>
          <w:rFonts w:ascii="Calibri" w:hAnsi="Calibri"/>
        </w:rPr>
      </w:r>
      <w:r w:rsidR="00472020">
        <w:rPr>
          <w:rFonts w:ascii="Calibri" w:hAnsi="Calibri"/>
        </w:rPr>
        <w:fldChar w:fldCharType="separate"/>
      </w:r>
      <w:r w:rsidR="00472020">
        <w:rPr>
          <w:rFonts w:ascii="Calibri" w:hAnsi="Calibri"/>
        </w:rPr>
        <w:t>[2]</w:t>
      </w:r>
      <w:r w:rsidR="00472020">
        <w:rPr>
          <w:rFonts w:ascii="Calibri" w:hAnsi="Calibri"/>
        </w:rPr>
        <w:fldChar w:fldCharType="end"/>
      </w:r>
      <w:r w:rsidR="00472020">
        <w:rPr>
          <w:rFonts w:ascii="Calibri" w:hAnsi="Calibri"/>
        </w:rPr>
        <w:t xml:space="preserve"> </w:t>
      </w:r>
      <w:r w:rsidR="00B359FB">
        <w:rPr>
          <w:rFonts w:ascii="Calibri" w:hAnsi="Calibri"/>
        </w:rPr>
        <w:t xml:space="preserve">is </w:t>
      </w:r>
      <w:r w:rsidR="000D7279">
        <w:rPr>
          <w:rFonts w:ascii="Calibri" w:hAnsi="Calibri"/>
        </w:rPr>
        <w:t xml:space="preserve">expected to be announced </w:t>
      </w:r>
      <w:r w:rsidR="00472020">
        <w:rPr>
          <w:rFonts w:ascii="Calibri" w:hAnsi="Calibri"/>
        </w:rPr>
        <w:t xml:space="preserve">in RAN#86 </w:t>
      </w:r>
      <w:r w:rsidR="000D7279">
        <w:rPr>
          <w:rFonts w:ascii="Calibri" w:hAnsi="Calibri"/>
        </w:rPr>
        <w:t>as</w:t>
      </w:r>
      <w:r w:rsidR="00472020">
        <w:rPr>
          <w:rFonts w:ascii="Calibri" w:hAnsi="Calibri"/>
        </w:rPr>
        <w:t xml:space="preserve"> having been</w:t>
      </w:r>
      <w:r w:rsidR="000D7279">
        <w:rPr>
          <w:rFonts w:ascii="Calibri" w:hAnsi="Calibri"/>
        </w:rPr>
        <w:t xml:space="preserve"> complete</w:t>
      </w:r>
      <w:r w:rsidR="00472020">
        <w:rPr>
          <w:rFonts w:ascii="Calibri" w:hAnsi="Calibri"/>
        </w:rPr>
        <w:t>d</w:t>
      </w:r>
      <w:r w:rsidR="00B359FB">
        <w:rPr>
          <w:rFonts w:ascii="Calibri" w:hAnsi="Calibri"/>
        </w:rPr>
        <w:t xml:space="preserve"> in RAN</w:t>
      </w:r>
      <w:r w:rsidR="000D7279">
        <w:rPr>
          <w:rFonts w:ascii="Calibri" w:hAnsi="Calibri"/>
        </w:rPr>
        <w:t xml:space="preserve"> WG</w:t>
      </w:r>
      <w:r w:rsidR="00B359FB">
        <w:rPr>
          <w:rFonts w:ascii="Calibri" w:hAnsi="Calibri"/>
        </w:rPr>
        <w:t>1</w:t>
      </w:r>
      <w:r w:rsidR="00C61F09">
        <w:rPr>
          <w:rFonts w:ascii="Calibri" w:hAnsi="Calibri"/>
        </w:rPr>
        <w:t xml:space="preserve"> and nearing completion</w:t>
      </w:r>
      <w:r w:rsidR="000D7279">
        <w:rPr>
          <w:rFonts w:ascii="Calibri" w:hAnsi="Calibri"/>
        </w:rPr>
        <w:t xml:space="preserve"> in other RAN WGs.</w:t>
      </w:r>
      <w:r w:rsidR="00DD587F">
        <w:rPr>
          <w:rFonts w:ascii="Calibri" w:hAnsi="Calibri"/>
        </w:rPr>
        <w:t xml:space="preserve"> The Rel-16 WI is focused exclusively on FR1 unlicensed spectrum in the range 5.150-7.125 GHz, which overlaps partially with the frequency range studied for licensed-assisted access LTE in Rel-13/Rel-14/Rel-15. Channel access mechanisms that ensure fair coexistence with other technologies </w:t>
      </w:r>
      <w:r w:rsidR="00975C94">
        <w:rPr>
          <w:rFonts w:ascii="Calibri" w:hAnsi="Calibri"/>
        </w:rPr>
        <w:t>underwent a long evaluation and discussion phase for both LAA-LTE and NR-U</w:t>
      </w:r>
      <w:r w:rsidR="00E26CE2">
        <w:rPr>
          <w:rFonts w:ascii="Calibri" w:hAnsi="Calibri"/>
        </w:rPr>
        <w:t>.</w:t>
      </w:r>
      <w:r w:rsidR="00975C94">
        <w:rPr>
          <w:rFonts w:ascii="Calibri" w:hAnsi="Calibri"/>
        </w:rPr>
        <w:t xml:space="preserve"> </w:t>
      </w:r>
      <w:r w:rsidR="00E26CE2">
        <w:rPr>
          <w:rFonts w:ascii="Calibri" w:hAnsi="Calibri"/>
        </w:rPr>
        <w:t>O</w:t>
      </w:r>
      <w:r w:rsidR="00975C94">
        <w:rPr>
          <w:rFonts w:ascii="Calibri" w:hAnsi="Calibri"/>
        </w:rPr>
        <w:t>ther SDOs and regulatory authorities have evinced a keen interest in LTE-LAA and NR-U development</w:t>
      </w:r>
      <w:r w:rsidR="00E26CE2">
        <w:rPr>
          <w:rFonts w:ascii="Calibri" w:hAnsi="Calibri"/>
        </w:rPr>
        <w:t xml:space="preserve"> due to the ramifications on the performance of unlicensed technologies</w:t>
      </w:r>
      <w:r w:rsidR="00975C94">
        <w:rPr>
          <w:rFonts w:ascii="Calibri" w:hAnsi="Calibri"/>
        </w:rPr>
        <w:t xml:space="preserve">. This can be gauged from </w:t>
      </w:r>
      <w:r w:rsidR="00975C94">
        <w:rPr>
          <w:rFonts w:ascii="Calibri" w:hAnsi="Calibri"/>
        </w:rPr>
        <w:fldChar w:fldCharType="begin"/>
      </w:r>
      <w:r w:rsidR="00975C94">
        <w:rPr>
          <w:rFonts w:ascii="Calibri" w:hAnsi="Calibri"/>
        </w:rPr>
        <w:instrText xml:space="preserve"> REF _Ref25759167 \r \h </w:instrText>
      </w:r>
      <w:r w:rsidR="00975C94">
        <w:rPr>
          <w:rFonts w:ascii="Calibri" w:hAnsi="Calibri"/>
        </w:rPr>
      </w:r>
      <w:r w:rsidR="00975C94">
        <w:rPr>
          <w:rFonts w:ascii="Calibri" w:hAnsi="Calibri"/>
        </w:rPr>
        <w:fldChar w:fldCharType="separate"/>
      </w:r>
      <w:r w:rsidR="00975C94">
        <w:rPr>
          <w:rFonts w:ascii="Calibri" w:hAnsi="Calibri"/>
        </w:rPr>
        <w:t>[3]</w:t>
      </w:r>
      <w:r w:rsidR="00975C94">
        <w:rPr>
          <w:rFonts w:ascii="Calibri" w:hAnsi="Calibri"/>
        </w:rPr>
        <w:fldChar w:fldCharType="end"/>
      </w:r>
      <w:r w:rsidR="00975C94">
        <w:rPr>
          <w:rFonts w:ascii="Calibri" w:hAnsi="Calibri"/>
        </w:rPr>
        <w:fldChar w:fldCharType="begin"/>
      </w:r>
      <w:r w:rsidR="00975C94">
        <w:rPr>
          <w:rFonts w:ascii="Calibri" w:hAnsi="Calibri"/>
        </w:rPr>
        <w:instrText xml:space="preserve"> REF _Ref25759175 \r \h </w:instrText>
      </w:r>
      <w:r w:rsidR="00975C94">
        <w:rPr>
          <w:rFonts w:ascii="Calibri" w:hAnsi="Calibri"/>
        </w:rPr>
      </w:r>
      <w:r w:rsidR="00975C94">
        <w:rPr>
          <w:rFonts w:ascii="Calibri" w:hAnsi="Calibri"/>
        </w:rPr>
        <w:fldChar w:fldCharType="separate"/>
      </w:r>
      <w:r w:rsidR="00975C94">
        <w:rPr>
          <w:rFonts w:ascii="Calibri" w:hAnsi="Calibri"/>
        </w:rPr>
        <w:t>[4]</w:t>
      </w:r>
      <w:r w:rsidR="00975C94">
        <w:rPr>
          <w:rFonts w:ascii="Calibri" w:hAnsi="Calibri"/>
        </w:rPr>
        <w:fldChar w:fldCharType="end"/>
      </w:r>
      <w:r w:rsidR="00975C94">
        <w:rPr>
          <w:rFonts w:ascii="Calibri" w:hAnsi="Calibri"/>
        </w:rPr>
        <w:t xml:space="preserve">, for example. </w:t>
      </w:r>
    </w:p>
    <w:p w14:paraId="0B9E7A65" w14:textId="77777777" w:rsidR="00685292" w:rsidRDefault="00685292" w:rsidP="00570376">
      <w:pPr>
        <w:pStyle w:val="maintext"/>
        <w:ind w:firstLineChars="0" w:firstLine="0"/>
        <w:rPr>
          <w:rFonts w:ascii="Calibri" w:hAnsi="Calibri"/>
        </w:rPr>
      </w:pPr>
    </w:p>
    <w:p w14:paraId="5B3AFF60" w14:textId="76B6FFA6" w:rsidR="006F1661" w:rsidRDefault="00975C94" w:rsidP="00570376">
      <w:pPr>
        <w:pStyle w:val="maintext"/>
        <w:ind w:firstLineChars="0" w:firstLine="0"/>
        <w:rPr>
          <w:rFonts w:ascii="Calibri" w:hAnsi="Calibri"/>
        </w:rPr>
      </w:pPr>
      <w:r>
        <w:rPr>
          <w:rFonts w:ascii="Calibri" w:hAnsi="Calibri"/>
        </w:rPr>
        <w:t xml:space="preserve">While a </w:t>
      </w:r>
      <w:r w:rsidR="00E26CE2">
        <w:rPr>
          <w:rFonts w:ascii="Calibri" w:hAnsi="Calibri"/>
        </w:rPr>
        <w:t xml:space="preserve">rudimentary ED-based channel access mechanism based on 5 GHz regulations has been incorporated into Rel-16 NR-U, </w:t>
      </w:r>
      <w:r w:rsidR="00C61F09">
        <w:rPr>
          <w:rFonts w:ascii="Calibri" w:hAnsi="Calibri"/>
        </w:rPr>
        <w:t>further enhancements such as enhanced LBT in 6 GHz are being discussed actively as part of a Rel-17 enhanced NR-U (eNR-U) follow-up WI</w:t>
      </w:r>
      <w:r w:rsidR="00685292">
        <w:rPr>
          <w:rFonts w:ascii="Calibri" w:hAnsi="Calibri"/>
        </w:rPr>
        <w:t xml:space="preserve"> for FR1</w:t>
      </w:r>
      <w:r w:rsidR="00C61F09">
        <w:rPr>
          <w:rFonts w:ascii="Calibri" w:hAnsi="Calibri"/>
        </w:rPr>
        <w:t>.</w:t>
      </w:r>
      <w:r w:rsidR="00685292">
        <w:rPr>
          <w:rFonts w:ascii="Calibri" w:hAnsi="Calibri"/>
        </w:rPr>
        <w:t xml:space="preserve"> However, u</w:t>
      </w:r>
      <w:r w:rsidR="00DD587F">
        <w:rPr>
          <w:rFonts w:ascii="Calibri" w:hAnsi="Calibri"/>
        </w:rPr>
        <w:t>nlice</w:t>
      </w:r>
      <w:r>
        <w:rPr>
          <w:rFonts w:ascii="Calibri" w:hAnsi="Calibri"/>
        </w:rPr>
        <w:t xml:space="preserve">nsed spectrum operation is expected to </w:t>
      </w:r>
      <w:r w:rsidR="00DD587F">
        <w:rPr>
          <w:rFonts w:ascii="Calibri" w:hAnsi="Calibri"/>
        </w:rPr>
        <w:t xml:space="preserve">form an integral part of </w:t>
      </w:r>
      <w:r w:rsidR="00685292">
        <w:rPr>
          <w:rFonts w:ascii="Calibri" w:hAnsi="Calibri"/>
        </w:rPr>
        <w:t xml:space="preserve">multiple </w:t>
      </w:r>
      <w:r w:rsidR="00DD587F">
        <w:rPr>
          <w:rFonts w:ascii="Calibri" w:hAnsi="Calibri"/>
        </w:rPr>
        <w:t xml:space="preserve">NR </w:t>
      </w:r>
      <w:r w:rsidR="00685292">
        <w:rPr>
          <w:rFonts w:ascii="Calibri" w:hAnsi="Calibri"/>
        </w:rPr>
        <w:t xml:space="preserve">feature </w:t>
      </w:r>
      <w:r w:rsidR="00DD587F">
        <w:rPr>
          <w:rFonts w:ascii="Calibri" w:hAnsi="Calibri"/>
        </w:rPr>
        <w:t xml:space="preserve">enhancements in Rel-17. </w:t>
      </w:r>
      <w:r w:rsidR="006F1661">
        <w:rPr>
          <w:rFonts w:ascii="Calibri" w:hAnsi="Calibri"/>
        </w:rPr>
        <w:t>A partial list of Rel-17 proposals that may include unlicensed spectrum operation is as follows:</w:t>
      </w:r>
    </w:p>
    <w:p w14:paraId="013061E1" w14:textId="6523234B" w:rsidR="006F1661" w:rsidRDefault="00FE02F0" w:rsidP="006F1661">
      <w:pPr>
        <w:pStyle w:val="maintext"/>
        <w:numPr>
          <w:ilvl w:val="0"/>
          <w:numId w:val="43"/>
        </w:numPr>
        <w:ind w:firstLineChars="0"/>
        <w:rPr>
          <w:rFonts w:ascii="Calibri" w:hAnsi="Calibri"/>
        </w:rPr>
      </w:pPr>
      <w:r>
        <w:rPr>
          <w:rFonts w:ascii="Calibri" w:hAnsi="Calibri"/>
        </w:rPr>
        <w:t>Integrated access and backhaul (possibly including 6 GHz operation)</w:t>
      </w:r>
    </w:p>
    <w:p w14:paraId="100DF354" w14:textId="3E3F88EA" w:rsidR="00FE02F0" w:rsidRDefault="00FE02F0" w:rsidP="006F1661">
      <w:pPr>
        <w:pStyle w:val="maintext"/>
        <w:numPr>
          <w:ilvl w:val="0"/>
          <w:numId w:val="43"/>
        </w:numPr>
        <w:ind w:firstLineChars="0"/>
        <w:rPr>
          <w:rFonts w:ascii="Calibri" w:hAnsi="Calibri"/>
        </w:rPr>
      </w:pPr>
      <w:r>
        <w:rPr>
          <w:rFonts w:ascii="Calibri" w:hAnsi="Calibri"/>
        </w:rPr>
        <w:t>Positioning</w:t>
      </w:r>
    </w:p>
    <w:p w14:paraId="267443B7" w14:textId="377C094C" w:rsidR="00FE02F0" w:rsidRDefault="00FE02F0" w:rsidP="006F1661">
      <w:pPr>
        <w:pStyle w:val="maintext"/>
        <w:numPr>
          <w:ilvl w:val="0"/>
          <w:numId w:val="43"/>
        </w:numPr>
        <w:ind w:firstLineChars="0"/>
        <w:rPr>
          <w:rFonts w:ascii="Calibri" w:hAnsi="Calibri"/>
        </w:rPr>
      </w:pPr>
      <w:r>
        <w:rPr>
          <w:rFonts w:ascii="Calibri" w:hAnsi="Calibri"/>
        </w:rPr>
        <w:t>URLLC/IIoT</w:t>
      </w:r>
    </w:p>
    <w:p w14:paraId="2C7D8479" w14:textId="2553B60E" w:rsidR="00FE02F0" w:rsidRDefault="00FE02F0" w:rsidP="006F1661">
      <w:pPr>
        <w:pStyle w:val="maintext"/>
        <w:numPr>
          <w:ilvl w:val="0"/>
          <w:numId w:val="43"/>
        </w:numPr>
        <w:ind w:firstLineChars="0"/>
        <w:rPr>
          <w:rFonts w:ascii="Calibri" w:hAnsi="Calibri"/>
        </w:rPr>
      </w:pPr>
      <w:r>
        <w:rPr>
          <w:rFonts w:ascii="Calibri" w:hAnsi="Calibri"/>
        </w:rPr>
        <w:t>Operation above 52.6 GHz</w:t>
      </w:r>
    </w:p>
    <w:p w14:paraId="3DA6D3D0" w14:textId="5A806236" w:rsidR="006F1661" w:rsidRDefault="00975C94" w:rsidP="00570376">
      <w:pPr>
        <w:pStyle w:val="maintext"/>
        <w:ind w:firstLineChars="0" w:firstLine="0"/>
        <w:rPr>
          <w:rFonts w:ascii="Calibri" w:hAnsi="Calibri"/>
        </w:rPr>
      </w:pPr>
      <w:r>
        <w:rPr>
          <w:rFonts w:ascii="Calibri" w:hAnsi="Calibri"/>
        </w:rPr>
        <w:t>While the above features differ greatly in terms of scope and performance requirements, when it comes to channel access in FR1 unlicensed spectrum it is advisable to adhere to the Rel-16 NR-U framework.</w:t>
      </w:r>
      <w:r w:rsidR="00685292">
        <w:rPr>
          <w:rFonts w:ascii="Calibri" w:hAnsi="Calibri"/>
        </w:rPr>
        <w:t xml:space="preserve"> </w:t>
      </w:r>
      <w:r w:rsidR="00502B05">
        <w:rPr>
          <w:rFonts w:ascii="Calibri" w:hAnsi="Calibri"/>
        </w:rPr>
        <w:t xml:space="preserve">Examples of channel access-related topics include listen-before-talk mechanisms and channel access priority classes for various DL/UL signals and channels. </w:t>
      </w:r>
      <w:r w:rsidR="00685292">
        <w:rPr>
          <w:rFonts w:ascii="Calibri" w:hAnsi="Calibri"/>
        </w:rPr>
        <w:t xml:space="preserve">The best way to ensure that the above feature enhancements do not deviate from the coexistence principles established so painstakingly in Rel-16 NR-U is to consider them separately in a consolidated eNR-U WI that covers channel access aspects for all Rel-17 topics. </w:t>
      </w:r>
      <w:r w:rsidR="0016572F">
        <w:rPr>
          <w:rFonts w:ascii="Calibri" w:hAnsi="Calibri"/>
        </w:rPr>
        <w:t xml:space="preserve">The eNR-U WI will have fair coexistence with other technologies as an explicit objective, while the same is not expected for the other Rel-17 features. </w:t>
      </w:r>
      <w:r w:rsidR="00685292">
        <w:rPr>
          <w:rFonts w:ascii="Calibri" w:hAnsi="Calibri"/>
        </w:rPr>
        <w:t>This</w:t>
      </w:r>
      <w:r w:rsidR="0016572F">
        <w:rPr>
          <w:rFonts w:ascii="Calibri" w:hAnsi="Calibri"/>
        </w:rPr>
        <w:t xml:space="preserve"> arrangement</w:t>
      </w:r>
      <w:r w:rsidR="00685292">
        <w:rPr>
          <w:rFonts w:ascii="Calibri" w:hAnsi="Calibri"/>
        </w:rPr>
        <w:t xml:space="preserve"> </w:t>
      </w:r>
      <w:r w:rsidR="0016572F">
        <w:rPr>
          <w:rFonts w:ascii="Calibri" w:hAnsi="Calibri"/>
        </w:rPr>
        <w:t xml:space="preserve">also </w:t>
      </w:r>
      <w:r w:rsidR="00685292">
        <w:rPr>
          <w:rFonts w:ascii="Calibri" w:hAnsi="Calibri"/>
        </w:rPr>
        <w:t>allows the relevant NR-U experts to continue to assess how to best design said enhancements while also ensuring fair coexistence with other technologies. The one exception is NR operation above 52.6 GHz, where a new waveform may be introduced</w:t>
      </w:r>
      <w:r w:rsidR="00197D0A">
        <w:rPr>
          <w:rFonts w:ascii="Calibri" w:hAnsi="Calibri"/>
        </w:rPr>
        <w:t xml:space="preserve"> and channel access mechanisms that are less relevant for FR1/FR2/FR3 (e.g., highly-directional LBT) may be discussed for 60-71 GHz unlicensed spectrum. </w:t>
      </w:r>
    </w:p>
    <w:p w14:paraId="7E7A63B8" w14:textId="77777777" w:rsidR="00C61F09" w:rsidRDefault="00C61F09" w:rsidP="00570376">
      <w:pPr>
        <w:pStyle w:val="maintext"/>
        <w:ind w:firstLineChars="0" w:firstLine="0"/>
        <w:rPr>
          <w:rFonts w:ascii="Calibri" w:hAnsi="Calibri"/>
        </w:rPr>
      </w:pPr>
    </w:p>
    <w:p w14:paraId="7DA94973" w14:textId="3B992DAF" w:rsidR="00C61F09" w:rsidRDefault="00C61F09" w:rsidP="00570376">
      <w:pPr>
        <w:pStyle w:val="maintext"/>
        <w:ind w:firstLineChars="0" w:firstLine="0"/>
        <w:rPr>
          <w:rFonts w:ascii="Calibri" w:hAnsi="Calibri"/>
        </w:rPr>
      </w:pPr>
      <w:r>
        <w:rPr>
          <w:rFonts w:ascii="Calibri" w:hAnsi="Calibri"/>
        </w:rPr>
        <w:t>Thus, the following proposals are obtained.</w:t>
      </w:r>
    </w:p>
    <w:p w14:paraId="7519CC0F" w14:textId="08868F17" w:rsidR="00570376" w:rsidRDefault="00570376" w:rsidP="00570376">
      <w:pPr>
        <w:pStyle w:val="maintext"/>
        <w:ind w:firstLineChars="0" w:firstLine="0"/>
        <w:rPr>
          <w:rFonts w:ascii="Calibri" w:hAnsi="Calibri"/>
        </w:rPr>
      </w:pPr>
    </w:p>
    <w:p w14:paraId="55A957F7" w14:textId="75969E94" w:rsidR="00C92C99" w:rsidRDefault="004D52C4" w:rsidP="00C92C99">
      <w:pPr>
        <w:rPr>
          <w:b/>
        </w:rPr>
      </w:pPr>
      <w:r>
        <w:rPr>
          <w:b/>
        </w:rPr>
        <w:t>Proposal</w:t>
      </w:r>
      <w:r w:rsidR="00DD587F">
        <w:rPr>
          <w:b/>
        </w:rPr>
        <w:t xml:space="preserve"> 1</w:t>
      </w:r>
      <w:r w:rsidR="00C92C99">
        <w:rPr>
          <w:b/>
        </w:rPr>
        <w:t xml:space="preserve">: </w:t>
      </w:r>
      <w:r w:rsidR="000D7279">
        <w:rPr>
          <w:b/>
        </w:rPr>
        <w:t xml:space="preserve">Rel-17 enhancements </w:t>
      </w:r>
      <w:r w:rsidR="00197D0A">
        <w:rPr>
          <w:b/>
        </w:rPr>
        <w:t xml:space="preserve">for any feature </w:t>
      </w:r>
      <w:r w:rsidR="000D7279">
        <w:rPr>
          <w:b/>
        </w:rPr>
        <w:t>related to channel access or other aspects impacting coexistence in unlicensed spectrum bands in FR1, FR2, and FR3 (if applicable) are handled together in a unified eNR-U WI.</w:t>
      </w:r>
      <w:r w:rsidR="00825D13">
        <w:rPr>
          <w:b/>
        </w:rPr>
        <w:t xml:space="preserve"> </w:t>
      </w:r>
    </w:p>
    <w:p w14:paraId="2E999B90" w14:textId="0F3AA5A0" w:rsidR="00DD587F" w:rsidRDefault="00DD587F" w:rsidP="00C92C99">
      <w:pPr>
        <w:rPr>
          <w:b/>
        </w:rPr>
      </w:pPr>
      <w:r>
        <w:rPr>
          <w:b/>
        </w:rPr>
        <w:lastRenderedPageBreak/>
        <w:t>Proposal 2: Rel-17 enhancements related to channel access or other aspects impacting coexistence in unlicensed spectrum bands above 52.6 GHz are handled in the SI on NR operation above 52.6 GHz.</w:t>
      </w:r>
    </w:p>
    <w:p w14:paraId="5CA073C6" w14:textId="77777777" w:rsidR="00C92C99" w:rsidRDefault="00C92C99" w:rsidP="00C92C99">
      <w:pPr>
        <w:rPr>
          <w:b/>
        </w:rPr>
      </w:pPr>
    </w:p>
    <w:p w14:paraId="6B17445A" w14:textId="77777777" w:rsidR="00257F9A" w:rsidRDefault="00F67C2E" w:rsidP="00F67C2E">
      <w:pPr>
        <w:pStyle w:val="Heading1"/>
      </w:pPr>
      <w:r>
        <w:t>Reference</w:t>
      </w:r>
    </w:p>
    <w:p w14:paraId="2FC8B5A1" w14:textId="5CE468EB" w:rsidR="009572C8" w:rsidRDefault="009572C8" w:rsidP="009572C8">
      <w:pPr>
        <w:pStyle w:val="ListParagraph"/>
        <w:numPr>
          <w:ilvl w:val="0"/>
          <w:numId w:val="15"/>
        </w:numPr>
        <w:spacing w:before="0" w:after="180"/>
        <w:jc w:val="left"/>
        <w:rPr>
          <w:rFonts w:eastAsia="SimSun"/>
          <w:color w:val="000000"/>
          <w:lang w:eastAsia="zh-CN"/>
        </w:rPr>
      </w:pPr>
      <w:bookmarkStart w:id="3" w:name="_Ref3022905"/>
      <w:bookmarkStart w:id="4" w:name="_Ref25758622"/>
      <w:r>
        <w:rPr>
          <w:rFonts w:eastAsia="SimSun"/>
          <w:color w:val="000000"/>
          <w:lang w:eastAsia="zh-CN"/>
        </w:rPr>
        <w:t xml:space="preserve">TR 38.889 v16.0.0, </w:t>
      </w:r>
      <w:r w:rsidRPr="009572C8">
        <w:rPr>
          <w:rFonts w:eastAsia="SimSun"/>
          <w:color w:val="000000"/>
          <w:lang w:eastAsia="zh-CN"/>
        </w:rPr>
        <w:t>Study on NR-based access to unlicensed spectrum</w:t>
      </w:r>
      <w:bookmarkEnd w:id="3"/>
      <w:r w:rsidR="00825D13">
        <w:rPr>
          <w:rFonts w:eastAsia="SimSun"/>
          <w:color w:val="000000"/>
          <w:lang w:eastAsia="zh-CN"/>
        </w:rPr>
        <w:t>.</w:t>
      </w:r>
      <w:bookmarkEnd w:id="4"/>
    </w:p>
    <w:p w14:paraId="1748C471" w14:textId="77777777" w:rsidR="000D7279" w:rsidRDefault="000D7279" w:rsidP="000D7279">
      <w:pPr>
        <w:pStyle w:val="ListParagraph"/>
        <w:numPr>
          <w:ilvl w:val="0"/>
          <w:numId w:val="15"/>
        </w:numPr>
        <w:spacing w:before="0" w:after="180"/>
        <w:jc w:val="left"/>
        <w:rPr>
          <w:rFonts w:eastAsia="SimSun"/>
          <w:color w:val="000000"/>
          <w:lang w:eastAsia="zh-CN"/>
        </w:rPr>
      </w:pPr>
      <w:bookmarkStart w:id="5" w:name="_Ref25757011"/>
      <w:r w:rsidRPr="00CE01CF">
        <w:rPr>
          <w:rFonts w:eastAsia="SimSun"/>
          <w:color w:val="000000"/>
          <w:lang w:eastAsia="zh-CN"/>
        </w:rPr>
        <w:t>RP-182878</w:t>
      </w:r>
      <w:r>
        <w:rPr>
          <w:rFonts w:eastAsia="SimSun"/>
          <w:color w:val="000000"/>
          <w:lang w:eastAsia="zh-CN"/>
        </w:rPr>
        <w:t xml:space="preserve">, </w:t>
      </w:r>
      <w:r w:rsidRPr="00CE01CF">
        <w:rPr>
          <w:rFonts w:eastAsia="SimSun"/>
          <w:color w:val="000000"/>
          <w:lang w:eastAsia="zh-CN"/>
        </w:rPr>
        <w:t>New WID on NR-based Access to Unlicensed Spectrum</w:t>
      </w:r>
      <w:r>
        <w:rPr>
          <w:rFonts w:eastAsia="SimSun"/>
          <w:color w:val="000000"/>
          <w:lang w:eastAsia="zh-CN"/>
        </w:rPr>
        <w:t>, RAN#82</w:t>
      </w:r>
      <w:bookmarkEnd w:id="5"/>
    </w:p>
    <w:p w14:paraId="04CB2DA7" w14:textId="5B9F1CE2" w:rsidR="000D7279" w:rsidRDefault="000D7279" w:rsidP="000D7279">
      <w:pPr>
        <w:pStyle w:val="ListParagraph"/>
        <w:numPr>
          <w:ilvl w:val="0"/>
          <w:numId w:val="15"/>
        </w:numPr>
        <w:spacing w:before="0" w:after="180"/>
        <w:jc w:val="left"/>
        <w:rPr>
          <w:rFonts w:eastAsia="SimSun"/>
          <w:color w:val="000000"/>
          <w:lang w:eastAsia="zh-CN"/>
        </w:rPr>
      </w:pPr>
      <w:bookmarkStart w:id="6" w:name="_Ref25759167"/>
      <w:r w:rsidRPr="000D7279">
        <w:rPr>
          <w:rFonts w:eastAsia="SimSun"/>
          <w:color w:val="000000"/>
          <w:lang w:eastAsia="zh-CN"/>
        </w:rPr>
        <w:t>RP-192384</w:t>
      </w:r>
      <w:r>
        <w:rPr>
          <w:rFonts w:eastAsia="SimSun"/>
          <w:color w:val="000000"/>
          <w:lang w:eastAsia="zh-CN"/>
        </w:rPr>
        <w:t xml:space="preserve">, </w:t>
      </w:r>
      <w:r w:rsidRPr="000D7279">
        <w:rPr>
          <w:rFonts w:eastAsia="SimSun"/>
          <w:color w:val="000000"/>
          <w:lang w:eastAsia="zh-CN"/>
        </w:rPr>
        <w:t>LS on Notification of July 2019 Coexistence Workshop Results</w:t>
      </w:r>
      <w:r>
        <w:rPr>
          <w:rFonts w:eastAsia="SimSun"/>
          <w:color w:val="000000"/>
          <w:lang w:eastAsia="zh-CN"/>
        </w:rPr>
        <w:t>, IEEE 802.11, RAN#86</w:t>
      </w:r>
      <w:bookmarkEnd w:id="6"/>
    </w:p>
    <w:p w14:paraId="4383D58E" w14:textId="330838FF" w:rsidR="000D7279" w:rsidRDefault="000D7279" w:rsidP="000D7279">
      <w:pPr>
        <w:pStyle w:val="ListParagraph"/>
        <w:numPr>
          <w:ilvl w:val="0"/>
          <w:numId w:val="15"/>
        </w:numPr>
        <w:spacing w:before="0" w:after="180"/>
        <w:jc w:val="left"/>
        <w:rPr>
          <w:rFonts w:eastAsia="SimSun"/>
          <w:color w:val="000000"/>
          <w:lang w:eastAsia="zh-CN"/>
        </w:rPr>
      </w:pPr>
      <w:bookmarkStart w:id="7" w:name="_Ref25759175"/>
      <w:r w:rsidRPr="000D7279">
        <w:rPr>
          <w:rFonts w:eastAsia="SimSun"/>
          <w:color w:val="000000"/>
          <w:lang w:eastAsia="zh-CN"/>
        </w:rPr>
        <w:t>R1-1911551</w:t>
      </w:r>
      <w:r>
        <w:rPr>
          <w:rFonts w:eastAsia="SimSun"/>
          <w:color w:val="000000"/>
          <w:lang w:eastAsia="zh-CN"/>
        </w:rPr>
        <w:t xml:space="preserve">, </w:t>
      </w:r>
      <w:r w:rsidRPr="000D7279">
        <w:rPr>
          <w:rFonts w:eastAsia="SimSun"/>
          <w:color w:val="000000"/>
          <w:lang w:eastAsia="zh-CN"/>
        </w:rPr>
        <w:t>Contention Window Update in Initiating Device Channel Access Mechanism of EN 301 893</w:t>
      </w:r>
      <w:r>
        <w:rPr>
          <w:rFonts w:eastAsia="SimSun"/>
          <w:color w:val="000000"/>
          <w:lang w:eastAsia="zh-CN"/>
        </w:rPr>
        <w:t>, ETSI TC BRAN, RAN1#98B</w:t>
      </w:r>
      <w:bookmarkEnd w:id="7"/>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3FCA5" w14:textId="77777777" w:rsidR="000E7A4F" w:rsidRDefault="000E7A4F" w:rsidP="00424124">
      <w:pPr>
        <w:spacing w:before="0" w:after="0"/>
      </w:pPr>
      <w:r>
        <w:separator/>
      </w:r>
    </w:p>
  </w:endnote>
  <w:endnote w:type="continuationSeparator" w:id="0">
    <w:p w14:paraId="571A415C" w14:textId="77777777" w:rsidR="000E7A4F" w:rsidRDefault="000E7A4F"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75F67" w14:textId="77777777" w:rsidR="000E7A4F" w:rsidRDefault="000E7A4F" w:rsidP="00424124">
      <w:pPr>
        <w:spacing w:before="0" w:after="0"/>
      </w:pPr>
      <w:r>
        <w:separator/>
      </w:r>
    </w:p>
  </w:footnote>
  <w:footnote w:type="continuationSeparator" w:id="0">
    <w:p w14:paraId="4F170246" w14:textId="77777777" w:rsidR="000E7A4F" w:rsidRDefault="000E7A4F"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0CA3"/>
    <w:multiLevelType w:val="hybridMultilevel"/>
    <w:tmpl w:val="DCD0D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0C7224"/>
    <w:multiLevelType w:val="hybridMultilevel"/>
    <w:tmpl w:val="2B0A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76435"/>
    <w:multiLevelType w:val="hybridMultilevel"/>
    <w:tmpl w:val="31EEC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35741"/>
    <w:multiLevelType w:val="hybridMultilevel"/>
    <w:tmpl w:val="38B863E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8"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0"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33"/>
  </w:num>
  <w:num w:numId="4">
    <w:abstractNumId w:val="3"/>
  </w:num>
  <w:num w:numId="5">
    <w:abstractNumId w:val="39"/>
  </w:num>
  <w:num w:numId="6">
    <w:abstractNumId w:val="37"/>
  </w:num>
  <w:num w:numId="7">
    <w:abstractNumId w:val="4"/>
  </w:num>
  <w:num w:numId="8">
    <w:abstractNumId w:val="13"/>
  </w:num>
  <w:num w:numId="9">
    <w:abstractNumId w:val="38"/>
  </w:num>
  <w:num w:numId="10">
    <w:abstractNumId w:val="10"/>
  </w:num>
  <w:num w:numId="11">
    <w:abstractNumId w:val="9"/>
  </w:num>
  <w:num w:numId="12">
    <w:abstractNumId w:val="19"/>
  </w:num>
  <w:num w:numId="13">
    <w:abstractNumId w:val="25"/>
  </w:num>
  <w:num w:numId="14">
    <w:abstractNumId w:val="31"/>
  </w:num>
  <w:num w:numId="15">
    <w:abstractNumId w:val="5"/>
  </w:num>
  <w:num w:numId="16">
    <w:abstractNumId w:val="21"/>
  </w:num>
  <w:num w:numId="17">
    <w:abstractNumId w:val="33"/>
  </w:num>
  <w:num w:numId="18">
    <w:abstractNumId w:val="33"/>
  </w:num>
  <w:num w:numId="19">
    <w:abstractNumId w:val="23"/>
  </w:num>
  <w:num w:numId="20">
    <w:abstractNumId w:val="11"/>
  </w:num>
  <w:num w:numId="21">
    <w:abstractNumId w:val="2"/>
  </w:num>
  <w:num w:numId="22">
    <w:abstractNumId w:val="32"/>
  </w:num>
  <w:num w:numId="23">
    <w:abstractNumId w:val="35"/>
  </w:num>
  <w:num w:numId="24">
    <w:abstractNumId w:val="40"/>
  </w:num>
  <w:num w:numId="25">
    <w:abstractNumId w:val="12"/>
  </w:num>
  <w:num w:numId="26">
    <w:abstractNumId w:val="22"/>
  </w:num>
  <w:num w:numId="27">
    <w:abstractNumId w:val="8"/>
  </w:num>
  <w:num w:numId="28">
    <w:abstractNumId w:val="1"/>
  </w:num>
  <w:num w:numId="29">
    <w:abstractNumId w:val="15"/>
  </w:num>
  <w:num w:numId="30">
    <w:abstractNumId w:val="24"/>
  </w:num>
  <w:num w:numId="31">
    <w:abstractNumId w:val="27"/>
  </w:num>
  <w:num w:numId="32">
    <w:abstractNumId w:val="20"/>
  </w:num>
  <w:num w:numId="33">
    <w:abstractNumId w:val="34"/>
  </w:num>
  <w:num w:numId="34">
    <w:abstractNumId w:val="29"/>
  </w:num>
  <w:num w:numId="35">
    <w:abstractNumId w:val="36"/>
  </w:num>
  <w:num w:numId="36">
    <w:abstractNumId w:val="7"/>
  </w:num>
  <w:num w:numId="37">
    <w:abstractNumId w:val="30"/>
  </w:num>
  <w:num w:numId="38">
    <w:abstractNumId w:val="14"/>
  </w:num>
  <w:num w:numId="39">
    <w:abstractNumId w:val="17"/>
  </w:num>
  <w:num w:numId="40">
    <w:abstractNumId w:val="18"/>
  </w:num>
  <w:num w:numId="41">
    <w:abstractNumId w:val="28"/>
  </w:num>
  <w:num w:numId="42">
    <w:abstractNumId w:val="0"/>
  </w:num>
  <w:num w:numId="4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14E6D"/>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488F"/>
    <w:rsid w:val="000550BC"/>
    <w:rsid w:val="000643FA"/>
    <w:rsid w:val="000730C9"/>
    <w:rsid w:val="0007575F"/>
    <w:rsid w:val="00075C88"/>
    <w:rsid w:val="00075FD1"/>
    <w:rsid w:val="0007622C"/>
    <w:rsid w:val="00085800"/>
    <w:rsid w:val="0008625B"/>
    <w:rsid w:val="000865E3"/>
    <w:rsid w:val="000917C5"/>
    <w:rsid w:val="00093068"/>
    <w:rsid w:val="00096B50"/>
    <w:rsid w:val="000977EE"/>
    <w:rsid w:val="000A1234"/>
    <w:rsid w:val="000A36A9"/>
    <w:rsid w:val="000B0720"/>
    <w:rsid w:val="000B62EA"/>
    <w:rsid w:val="000B6D99"/>
    <w:rsid w:val="000C57B9"/>
    <w:rsid w:val="000D2643"/>
    <w:rsid w:val="000D38DC"/>
    <w:rsid w:val="000D7279"/>
    <w:rsid w:val="000E29D8"/>
    <w:rsid w:val="000E5F17"/>
    <w:rsid w:val="000E7A4F"/>
    <w:rsid w:val="000F41B9"/>
    <w:rsid w:val="000F6524"/>
    <w:rsid w:val="0010303E"/>
    <w:rsid w:val="00104F9A"/>
    <w:rsid w:val="00111F1B"/>
    <w:rsid w:val="0011327D"/>
    <w:rsid w:val="0011368E"/>
    <w:rsid w:val="00116DA6"/>
    <w:rsid w:val="00137904"/>
    <w:rsid w:val="0014178F"/>
    <w:rsid w:val="001417A8"/>
    <w:rsid w:val="00153793"/>
    <w:rsid w:val="00156D74"/>
    <w:rsid w:val="0016572F"/>
    <w:rsid w:val="00167D68"/>
    <w:rsid w:val="00172743"/>
    <w:rsid w:val="00174B69"/>
    <w:rsid w:val="001775C4"/>
    <w:rsid w:val="0018672E"/>
    <w:rsid w:val="001937A9"/>
    <w:rsid w:val="001941FB"/>
    <w:rsid w:val="00197607"/>
    <w:rsid w:val="00197D0A"/>
    <w:rsid w:val="001A34BE"/>
    <w:rsid w:val="001A5A68"/>
    <w:rsid w:val="001A6212"/>
    <w:rsid w:val="001A75E0"/>
    <w:rsid w:val="001B731B"/>
    <w:rsid w:val="001C07DC"/>
    <w:rsid w:val="001C699C"/>
    <w:rsid w:val="001E0CE1"/>
    <w:rsid w:val="001E5296"/>
    <w:rsid w:val="001E58CC"/>
    <w:rsid w:val="001F4CF3"/>
    <w:rsid w:val="001F59ED"/>
    <w:rsid w:val="0021123D"/>
    <w:rsid w:val="00211D37"/>
    <w:rsid w:val="00212204"/>
    <w:rsid w:val="00216763"/>
    <w:rsid w:val="00216DF5"/>
    <w:rsid w:val="00216F54"/>
    <w:rsid w:val="00220E3A"/>
    <w:rsid w:val="002211DE"/>
    <w:rsid w:val="00222269"/>
    <w:rsid w:val="00222813"/>
    <w:rsid w:val="00222CD5"/>
    <w:rsid w:val="00223678"/>
    <w:rsid w:val="00233D70"/>
    <w:rsid w:val="00235373"/>
    <w:rsid w:val="00235E6F"/>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759D2"/>
    <w:rsid w:val="0028740C"/>
    <w:rsid w:val="002879EB"/>
    <w:rsid w:val="0029147A"/>
    <w:rsid w:val="00294DE0"/>
    <w:rsid w:val="00297225"/>
    <w:rsid w:val="002A005E"/>
    <w:rsid w:val="002A0226"/>
    <w:rsid w:val="002A0270"/>
    <w:rsid w:val="002A0807"/>
    <w:rsid w:val="002A1134"/>
    <w:rsid w:val="002B770A"/>
    <w:rsid w:val="002C0488"/>
    <w:rsid w:val="002C2227"/>
    <w:rsid w:val="002C4097"/>
    <w:rsid w:val="002C6BAC"/>
    <w:rsid w:val="002C7511"/>
    <w:rsid w:val="002D0CCE"/>
    <w:rsid w:val="002D3D42"/>
    <w:rsid w:val="002D479B"/>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64F8"/>
    <w:rsid w:val="00377097"/>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075BA"/>
    <w:rsid w:val="004137D5"/>
    <w:rsid w:val="004146B7"/>
    <w:rsid w:val="004225EA"/>
    <w:rsid w:val="00424124"/>
    <w:rsid w:val="00426B8E"/>
    <w:rsid w:val="00427BEF"/>
    <w:rsid w:val="00434212"/>
    <w:rsid w:val="00434A4B"/>
    <w:rsid w:val="004364F4"/>
    <w:rsid w:val="004372E5"/>
    <w:rsid w:val="00440F6E"/>
    <w:rsid w:val="00443645"/>
    <w:rsid w:val="00443CD6"/>
    <w:rsid w:val="00446BF2"/>
    <w:rsid w:val="00453805"/>
    <w:rsid w:val="004539BD"/>
    <w:rsid w:val="004547B0"/>
    <w:rsid w:val="004552C9"/>
    <w:rsid w:val="004567F3"/>
    <w:rsid w:val="0045714E"/>
    <w:rsid w:val="0045728A"/>
    <w:rsid w:val="004607AC"/>
    <w:rsid w:val="0046127E"/>
    <w:rsid w:val="004626B7"/>
    <w:rsid w:val="004678E1"/>
    <w:rsid w:val="00472020"/>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A6C40"/>
    <w:rsid w:val="004B6AA8"/>
    <w:rsid w:val="004B6E00"/>
    <w:rsid w:val="004C186B"/>
    <w:rsid w:val="004C2D12"/>
    <w:rsid w:val="004C3F2E"/>
    <w:rsid w:val="004C4314"/>
    <w:rsid w:val="004C4856"/>
    <w:rsid w:val="004C7784"/>
    <w:rsid w:val="004D52C4"/>
    <w:rsid w:val="004D58F6"/>
    <w:rsid w:val="004D6971"/>
    <w:rsid w:val="004D7227"/>
    <w:rsid w:val="004D780D"/>
    <w:rsid w:val="004D7CF8"/>
    <w:rsid w:val="004E6B26"/>
    <w:rsid w:val="004E6BC0"/>
    <w:rsid w:val="004E6D3B"/>
    <w:rsid w:val="004F264D"/>
    <w:rsid w:val="004F4495"/>
    <w:rsid w:val="004F79FA"/>
    <w:rsid w:val="00502B05"/>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03CA"/>
    <w:rsid w:val="0056238B"/>
    <w:rsid w:val="00565BDB"/>
    <w:rsid w:val="00566D34"/>
    <w:rsid w:val="005700A9"/>
    <w:rsid w:val="00570376"/>
    <w:rsid w:val="0057145F"/>
    <w:rsid w:val="00572B57"/>
    <w:rsid w:val="005758E7"/>
    <w:rsid w:val="00575CB3"/>
    <w:rsid w:val="005778C8"/>
    <w:rsid w:val="0058113E"/>
    <w:rsid w:val="0058120D"/>
    <w:rsid w:val="00582E47"/>
    <w:rsid w:val="00583D11"/>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37D76"/>
    <w:rsid w:val="006409B4"/>
    <w:rsid w:val="00641FF0"/>
    <w:rsid w:val="00644034"/>
    <w:rsid w:val="00646289"/>
    <w:rsid w:val="00652AC8"/>
    <w:rsid w:val="0066157D"/>
    <w:rsid w:val="0066228D"/>
    <w:rsid w:val="00671A08"/>
    <w:rsid w:val="0067313E"/>
    <w:rsid w:val="006756FB"/>
    <w:rsid w:val="0067647D"/>
    <w:rsid w:val="00677BD0"/>
    <w:rsid w:val="00685292"/>
    <w:rsid w:val="00685B82"/>
    <w:rsid w:val="00685E11"/>
    <w:rsid w:val="00691C1B"/>
    <w:rsid w:val="0069705B"/>
    <w:rsid w:val="006A0EDC"/>
    <w:rsid w:val="006A18DB"/>
    <w:rsid w:val="006A2D2E"/>
    <w:rsid w:val="006A5891"/>
    <w:rsid w:val="006B5025"/>
    <w:rsid w:val="006B511E"/>
    <w:rsid w:val="006C1DE6"/>
    <w:rsid w:val="006C452E"/>
    <w:rsid w:val="006C6A78"/>
    <w:rsid w:val="006C7DB5"/>
    <w:rsid w:val="006D0E79"/>
    <w:rsid w:val="006D5B36"/>
    <w:rsid w:val="006E0B85"/>
    <w:rsid w:val="006E1947"/>
    <w:rsid w:val="006E3698"/>
    <w:rsid w:val="006E5242"/>
    <w:rsid w:val="006E790B"/>
    <w:rsid w:val="006F04A4"/>
    <w:rsid w:val="006F055C"/>
    <w:rsid w:val="006F1661"/>
    <w:rsid w:val="006F3A2E"/>
    <w:rsid w:val="007002C9"/>
    <w:rsid w:val="00700824"/>
    <w:rsid w:val="007024FE"/>
    <w:rsid w:val="00707D20"/>
    <w:rsid w:val="00721AD7"/>
    <w:rsid w:val="007225EF"/>
    <w:rsid w:val="00722BA6"/>
    <w:rsid w:val="007231EB"/>
    <w:rsid w:val="00723DC5"/>
    <w:rsid w:val="00727952"/>
    <w:rsid w:val="007338D6"/>
    <w:rsid w:val="00740B36"/>
    <w:rsid w:val="00745EBA"/>
    <w:rsid w:val="00746DED"/>
    <w:rsid w:val="00747A6F"/>
    <w:rsid w:val="0075158D"/>
    <w:rsid w:val="0075622F"/>
    <w:rsid w:val="0076067D"/>
    <w:rsid w:val="007632E9"/>
    <w:rsid w:val="00764288"/>
    <w:rsid w:val="0076440A"/>
    <w:rsid w:val="00774F2A"/>
    <w:rsid w:val="00781A50"/>
    <w:rsid w:val="00781B7F"/>
    <w:rsid w:val="00782B9C"/>
    <w:rsid w:val="00782CDC"/>
    <w:rsid w:val="007839F9"/>
    <w:rsid w:val="0078598F"/>
    <w:rsid w:val="00797765"/>
    <w:rsid w:val="007A2765"/>
    <w:rsid w:val="007A2E96"/>
    <w:rsid w:val="007A546E"/>
    <w:rsid w:val="007B13E5"/>
    <w:rsid w:val="007B2F6B"/>
    <w:rsid w:val="007B473A"/>
    <w:rsid w:val="007C6C1E"/>
    <w:rsid w:val="007D2A36"/>
    <w:rsid w:val="007D2C48"/>
    <w:rsid w:val="007D4056"/>
    <w:rsid w:val="007E0C23"/>
    <w:rsid w:val="007E546F"/>
    <w:rsid w:val="007F1928"/>
    <w:rsid w:val="007F1C30"/>
    <w:rsid w:val="007F343C"/>
    <w:rsid w:val="007F392E"/>
    <w:rsid w:val="007F561A"/>
    <w:rsid w:val="008013A1"/>
    <w:rsid w:val="00801422"/>
    <w:rsid w:val="008016B6"/>
    <w:rsid w:val="008022A0"/>
    <w:rsid w:val="00806FA9"/>
    <w:rsid w:val="00811234"/>
    <w:rsid w:val="00811A1B"/>
    <w:rsid w:val="008135D0"/>
    <w:rsid w:val="008204DD"/>
    <w:rsid w:val="00823398"/>
    <w:rsid w:val="00824DED"/>
    <w:rsid w:val="00825D13"/>
    <w:rsid w:val="00826E5A"/>
    <w:rsid w:val="008276A8"/>
    <w:rsid w:val="008313C8"/>
    <w:rsid w:val="00832626"/>
    <w:rsid w:val="008363BC"/>
    <w:rsid w:val="008437B2"/>
    <w:rsid w:val="00843A9C"/>
    <w:rsid w:val="00843F1C"/>
    <w:rsid w:val="008500BA"/>
    <w:rsid w:val="00850DCE"/>
    <w:rsid w:val="00854FBB"/>
    <w:rsid w:val="008661BA"/>
    <w:rsid w:val="00871CA8"/>
    <w:rsid w:val="00875C32"/>
    <w:rsid w:val="00877963"/>
    <w:rsid w:val="00881613"/>
    <w:rsid w:val="008836DC"/>
    <w:rsid w:val="00885004"/>
    <w:rsid w:val="0088540E"/>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5DA1"/>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39C3"/>
    <w:rsid w:val="009376A2"/>
    <w:rsid w:val="00940F15"/>
    <w:rsid w:val="009513D1"/>
    <w:rsid w:val="00955F06"/>
    <w:rsid w:val="00955F46"/>
    <w:rsid w:val="009572C8"/>
    <w:rsid w:val="00957CD1"/>
    <w:rsid w:val="00961DB2"/>
    <w:rsid w:val="009652D8"/>
    <w:rsid w:val="00965321"/>
    <w:rsid w:val="009666B1"/>
    <w:rsid w:val="0097126A"/>
    <w:rsid w:val="0097292F"/>
    <w:rsid w:val="00973104"/>
    <w:rsid w:val="009741D9"/>
    <w:rsid w:val="00974CC1"/>
    <w:rsid w:val="00975C94"/>
    <w:rsid w:val="00982CA4"/>
    <w:rsid w:val="00984235"/>
    <w:rsid w:val="009852A0"/>
    <w:rsid w:val="009926F3"/>
    <w:rsid w:val="00993D92"/>
    <w:rsid w:val="00994B97"/>
    <w:rsid w:val="00997480"/>
    <w:rsid w:val="009A4D63"/>
    <w:rsid w:val="009A54FC"/>
    <w:rsid w:val="009A5A1C"/>
    <w:rsid w:val="009B08C5"/>
    <w:rsid w:val="009B0DE8"/>
    <w:rsid w:val="009B52C0"/>
    <w:rsid w:val="009C2167"/>
    <w:rsid w:val="009C324F"/>
    <w:rsid w:val="009C3EE1"/>
    <w:rsid w:val="009C57A6"/>
    <w:rsid w:val="009C6D2C"/>
    <w:rsid w:val="009D46C1"/>
    <w:rsid w:val="009E0D02"/>
    <w:rsid w:val="009E5838"/>
    <w:rsid w:val="009F3F92"/>
    <w:rsid w:val="009F5E27"/>
    <w:rsid w:val="009F6C30"/>
    <w:rsid w:val="00A039FE"/>
    <w:rsid w:val="00A04465"/>
    <w:rsid w:val="00A0495F"/>
    <w:rsid w:val="00A06D64"/>
    <w:rsid w:val="00A11704"/>
    <w:rsid w:val="00A11840"/>
    <w:rsid w:val="00A12440"/>
    <w:rsid w:val="00A22957"/>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1DD"/>
    <w:rsid w:val="00A92495"/>
    <w:rsid w:val="00AA439A"/>
    <w:rsid w:val="00AA5899"/>
    <w:rsid w:val="00AA62E3"/>
    <w:rsid w:val="00AB75A3"/>
    <w:rsid w:val="00AB7FC6"/>
    <w:rsid w:val="00AC334D"/>
    <w:rsid w:val="00AC4581"/>
    <w:rsid w:val="00AD115D"/>
    <w:rsid w:val="00AD16AE"/>
    <w:rsid w:val="00AD3624"/>
    <w:rsid w:val="00AD4984"/>
    <w:rsid w:val="00AD6C53"/>
    <w:rsid w:val="00AE5886"/>
    <w:rsid w:val="00AE72F4"/>
    <w:rsid w:val="00AF0153"/>
    <w:rsid w:val="00AF0A4B"/>
    <w:rsid w:val="00AF65DE"/>
    <w:rsid w:val="00AF7131"/>
    <w:rsid w:val="00AF7415"/>
    <w:rsid w:val="00B03714"/>
    <w:rsid w:val="00B04278"/>
    <w:rsid w:val="00B1052E"/>
    <w:rsid w:val="00B12672"/>
    <w:rsid w:val="00B14861"/>
    <w:rsid w:val="00B163AD"/>
    <w:rsid w:val="00B16656"/>
    <w:rsid w:val="00B17EEB"/>
    <w:rsid w:val="00B23254"/>
    <w:rsid w:val="00B2434D"/>
    <w:rsid w:val="00B24D29"/>
    <w:rsid w:val="00B34716"/>
    <w:rsid w:val="00B359FB"/>
    <w:rsid w:val="00B42477"/>
    <w:rsid w:val="00B477CA"/>
    <w:rsid w:val="00B5169C"/>
    <w:rsid w:val="00B6131E"/>
    <w:rsid w:val="00B61A13"/>
    <w:rsid w:val="00B625B1"/>
    <w:rsid w:val="00B648CA"/>
    <w:rsid w:val="00B677E5"/>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657F"/>
    <w:rsid w:val="00C1686B"/>
    <w:rsid w:val="00C218A9"/>
    <w:rsid w:val="00C2432D"/>
    <w:rsid w:val="00C263F4"/>
    <w:rsid w:val="00C34D56"/>
    <w:rsid w:val="00C4691B"/>
    <w:rsid w:val="00C47EE0"/>
    <w:rsid w:val="00C53758"/>
    <w:rsid w:val="00C60992"/>
    <w:rsid w:val="00C61F09"/>
    <w:rsid w:val="00C63006"/>
    <w:rsid w:val="00C631E3"/>
    <w:rsid w:val="00C645A7"/>
    <w:rsid w:val="00C67568"/>
    <w:rsid w:val="00C71871"/>
    <w:rsid w:val="00C728C1"/>
    <w:rsid w:val="00C77666"/>
    <w:rsid w:val="00C8290A"/>
    <w:rsid w:val="00C83FE6"/>
    <w:rsid w:val="00C913B6"/>
    <w:rsid w:val="00C92C99"/>
    <w:rsid w:val="00C94A6B"/>
    <w:rsid w:val="00C97103"/>
    <w:rsid w:val="00CA0E50"/>
    <w:rsid w:val="00CA4D34"/>
    <w:rsid w:val="00CA6EA3"/>
    <w:rsid w:val="00CB15A7"/>
    <w:rsid w:val="00CB15CC"/>
    <w:rsid w:val="00CB1A37"/>
    <w:rsid w:val="00CB1DA8"/>
    <w:rsid w:val="00CB6D97"/>
    <w:rsid w:val="00CD44A8"/>
    <w:rsid w:val="00CE01CF"/>
    <w:rsid w:val="00CE0C9D"/>
    <w:rsid w:val="00CE1E0E"/>
    <w:rsid w:val="00D20AFC"/>
    <w:rsid w:val="00D211FF"/>
    <w:rsid w:val="00D23CDC"/>
    <w:rsid w:val="00D268EB"/>
    <w:rsid w:val="00D26CFF"/>
    <w:rsid w:val="00D274C6"/>
    <w:rsid w:val="00D4354E"/>
    <w:rsid w:val="00D43B0A"/>
    <w:rsid w:val="00D44CA3"/>
    <w:rsid w:val="00D44E46"/>
    <w:rsid w:val="00D456D8"/>
    <w:rsid w:val="00D45A0E"/>
    <w:rsid w:val="00D4758C"/>
    <w:rsid w:val="00D51B6A"/>
    <w:rsid w:val="00D54B28"/>
    <w:rsid w:val="00D55FAB"/>
    <w:rsid w:val="00D56786"/>
    <w:rsid w:val="00D60F04"/>
    <w:rsid w:val="00D61B7F"/>
    <w:rsid w:val="00D61EAB"/>
    <w:rsid w:val="00D701D3"/>
    <w:rsid w:val="00D71E46"/>
    <w:rsid w:val="00D7445F"/>
    <w:rsid w:val="00D87200"/>
    <w:rsid w:val="00D910ED"/>
    <w:rsid w:val="00D92B1D"/>
    <w:rsid w:val="00D960F4"/>
    <w:rsid w:val="00DB57ED"/>
    <w:rsid w:val="00DC00B6"/>
    <w:rsid w:val="00DC0E31"/>
    <w:rsid w:val="00DC5CBE"/>
    <w:rsid w:val="00DC70D0"/>
    <w:rsid w:val="00DC7DD6"/>
    <w:rsid w:val="00DD4BA0"/>
    <w:rsid w:val="00DD587F"/>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6CE2"/>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37F9"/>
    <w:rsid w:val="00EB3E87"/>
    <w:rsid w:val="00EB4A75"/>
    <w:rsid w:val="00EB5FBB"/>
    <w:rsid w:val="00EC6929"/>
    <w:rsid w:val="00EC6A0B"/>
    <w:rsid w:val="00ED407A"/>
    <w:rsid w:val="00ED6012"/>
    <w:rsid w:val="00ED6DB9"/>
    <w:rsid w:val="00EE3517"/>
    <w:rsid w:val="00EE4A18"/>
    <w:rsid w:val="00EE69AB"/>
    <w:rsid w:val="00EE6BEA"/>
    <w:rsid w:val="00EF61D1"/>
    <w:rsid w:val="00EF70F2"/>
    <w:rsid w:val="00F01D63"/>
    <w:rsid w:val="00F12462"/>
    <w:rsid w:val="00F154D0"/>
    <w:rsid w:val="00F17550"/>
    <w:rsid w:val="00F230F7"/>
    <w:rsid w:val="00F24169"/>
    <w:rsid w:val="00F261D6"/>
    <w:rsid w:val="00F319E6"/>
    <w:rsid w:val="00F329F4"/>
    <w:rsid w:val="00F33B94"/>
    <w:rsid w:val="00F35911"/>
    <w:rsid w:val="00F42415"/>
    <w:rsid w:val="00F42D43"/>
    <w:rsid w:val="00F57965"/>
    <w:rsid w:val="00F63BEA"/>
    <w:rsid w:val="00F67C2E"/>
    <w:rsid w:val="00F72B1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489B"/>
    <w:rsid w:val="00FD530D"/>
    <w:rsid w:val="00FE0217"/>
    <w:rsid w:val="00FE02F0"/>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25"/>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 w:type="paragraph" w:customStyle="1" w:styleId="B2">
    <w:name w:val="B2"/>
    <w:basedOn w:val="List2"/>
    <w:link w:val="B2Char"/>
    <w:rsid w:val="00222CD5"/>
    <w:pPr>
      <w:spacing w:before="0" w:after="180"/>
      <w:ind w:left="851" w:hanging="284"/>
      <w:contextualSpacing w:val="0"/>
      <w:jc w:val="left"/>
    </w:pPr>
    <w:rPr>
      <w:rFonts w:ascii="Times New Roman" w:eastAsia="SimSun" w:hAnsi="Times New Roman"/>
      <w:lang w:val="en-GB" w:eastAsia="x-none"/>
    </w:rPr>
  </w:style>
  <w:style w:type="paragraph" w:customStyle="1" w:styleId="B3">
    <w:name w:val="B3"/>
    <w:basedOn w:val="List3"/>
    <w:rsid w:val="00222CD5"/>
    <w:pPr>
      <w:spacing w:before="0" w:after="180"/>
      <w:ind w:left="1135" w:hanging="284"/>
      <w:contextualSpacing w:val="0"/>
      <w:jc w:val="left"/>
    </w:pPr>
    <w:rPr>
      <w:rFonts w:ascii="Times New Roman" w:eastAsia="SimSun" w:hAnsi="Times New Roman"/>
      <w:lang w:val="en-GB" w:eastAsia="x-none"/>
    </w:rPr>
  </w:style>
  <w:style w:type="character" w:customStyle="1" w:styleId="B2Char">
    <w:name w:val="B2 Char"/>
    <w:link w:val="B2"/>
    <w:rsid w:val="00222CD5"/>
    <w:rPr>
      <w:rFonts w:ascii="Times New Roman" w:eastAsia="SimSun" w:hAnsi="Times New Roman"/>
      <w:lang w:val="en-GB" w:eastAsia="x-none"/>
    </w:rPr>
  </w:style>
  <w:style w:type="paragraph" w:customStyle="1" w:styleId="BL">
    <w:name w:val="BL"/>
    <w:basedOn w:val="Normal"/>
    <w:rsid w:val="00222CD5"/>
    <w:pPr>
      <w:numPr>
        <w:numId w:val="37"/>
      </w:numPr>
      <w:tabs>
        <w:tab w:val="left" w:pos="851"/>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styleId="List3">
    <w:name w:val="List 3"/>
    <w:basedOn w:val="Normal"/>
    <w:uiPriority w:val="99"/>
    <w:semiHidden/>
    <w:unhideWhenUsed/>
    <w:rsid w:val="00222CD5"/>
    <w:pPr>
      <w:ind w:left="1080" w:hanging="360"/>
      <w:contextualSpacing/>
    </w:pPr>
  </w:style>
  <w:style w:type="table" w:styleId="GridTable4-Accent1">
    <w:name w:val="Grid Table 4 Accent 1"/>
    <w:basedOn w:val="TableNormal"/>
    <w:uiPriority w:val="49"/>
    <w:rsid w:val="004F7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7EA6D-CCCB-48F2-B2DD-883211DBB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14</cp:revision>
  <cp:lastPrinted>2016-02-23T15:51:00Z</cp:lastPrinted>
  <dcterms:created xsi:type="dcterms:W3CDTF">2019-11-27T22:10:00Z</dcterms:created>
  <dcterms:modified xsi:type="dcterms:W3CDTF">2019-12-08T20:15:00Z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